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9"/>
        <w:ind w:right="-1"/>
        <w:jc w:val="center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-31749</wp:posOffset>
                </wp:positionV>
                <wp:extent cx="696595" cy="732155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9659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198.00pt;mso-position-horizontal:absolute;mso-position-vertical-relative:text;margin-top:-2.50pt;mso-position-vertical:absolute;width:54.85pt;height:57.65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 w:val="18"/>
        </w:rPr>
      </w:r>
      <w:r>
        <w:rPr>
          <w:sz w:val="1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09"/>
        <w:ind w:left="-567"/>
        <w:rPr>
          <w:sz w:val="8"/>
        </w:rPr>
      </w:pPr>
      <w:r>
        <w:rPr>
          <w:sz w:val="8"/>
        </w:rPr>
      </w:r>
      <w:r>
        <w:rPr>
          <w:sz w:val="8"/>
        </w:rPr>
      </w:r>
    </w:p>
    <w:p>
      <w:pPr>
        <w:pStyle w:val="718"/>
        <w:jc w:val="center"/>
        <w:tabs>
          <w:tab w:val="left" w:pos="9639" w:leader="none"/>
        </w:tabs>
        <w:rPr>
          <w:b/>
          <w:bCs/>
          <w:caps/>
          <w:sz w:val="32"/>
        </w:rPr>
      </w:pPr>
      <w:r>
        <w:rPr>
          <w:b/>
          <w:bCs/>
          <w:caps/>
          <w:sz w:val="32"/>
        </w:rPr>
        <w:t xml:space="preserve">ТЕРРИТОРИАЛЬНАЯ избирательная комиссия</w:t>
      </w:r>
      <w:r>
        <w:rPr>
          <w:b/>
          <w:bCs/>
          <w:caps/>
          <w:sz w:val="32"/>
        </w:rPr>
      </w:r>
    </w:p>
    <w:p>
      <w:pPr>
        <w:pStyle w:val="709"/>
        <w:jc w:val="center"/>
        <w:spacing w:before="80"/>
        <w:rPr>
          <w:spacing w:val="20"/>
          <w:sz w:val="16"/>
        </w:rPr>
      </w:pPr>
      <w:r>
        <w:rPr>
          <w:b/>
          <w:caps/>
          <w:sz w:val="32"/>
        </w:rPr>
        <w:t xml:space="preserve">МИЛЮТИНСКОГО</w:t>
      </w:r>
      <w:r>
        <w:rPr>
          <w:b/>
          <w:caps/>
          <w:sz w:val="32"/>
        </w:rPr>
        <w:t xml:space="preserve"> РАЙОНА Ростовской области</w:t>
      </w:r>
      <w:r>
        <w:rPr>
          <w:caps/>
        </w:rPr>
        <w:br w:type="textWrapping" w:clear="all"/>
      </w:r>
      <w:r>
        <w:rPr>
          <w:spacing w:val="20"/>
          <w:sz w:val="16"/>
        </w:rPr>
      </w:r>
      <w:r>
        <w:rPr>
          <w:spacing w:val="20"/>
          <w:sz w:val="16"/>
        </w:rPr>
      </w:r>
    </w:p>
    <w:p>
      <w:pPr>
        <w:pStyle w:val="726"/>
        <w:ind w:left="0"/>
        <w:jc w:val="center"/>
        <w:tabs>
          <w:tab w:val="left" w:pos="9072" w:leader="none"/>
        </w:tabs>
        <w:rPr>
          <w:b/>
          <w:bCs/>
          <w:sz w:val="32"/>
        </w:rPr>
      </w:pPr>
      <w:r>
        <w:rPr>
          <w:sz w:val="24"/>
        </w:rPr>
        <w:br w:type="textWrapping" w:clear="all"/>
      </w:r>
      <w:r>
        <w:rPr>
          <w:b/>
          <w:bCs/>
          <w:sz w:val="32"/>
        </w:rPr>
        <w:t xml:space="preserve">ПОСТАНОВЛЕНИЕ</w:t>
      </w:r>
      <w:r>
        <w:rPr>
          <w:b/>
          <w:bCs/>
          <w:sz w:val="32"/>
        </w:rPr>
      </w:r>
    </w:p>
    <w:p>
      <w:pPr>
        <w:pStyle w:val="726"/>
        <w:ind w:left="0"/>
        <w:tabs>
          <w:tab w:val="left" w:pos="9072" w:leader="none"/>
        </w:tabs>
      </w:pPr>
      <w:r/>
      <w:r/>
    </w:p>
    <w:p>
      <w:pPr>
        <w:pStyle w:val="726"/>
        <w:ind w:left="0"/>
        <w:tabs>
          <w:tab w:val="left" w:pos="-5245" w:leader="none"/>
        </w:tabs>
        <w:rPr>
          <w:szCs w:val="28"/>
        </w:rPr>
      </w:pPr>
      <w:r>
        <w:rPr>
          <w:szCs w:val="28"/>
        </w:rPr>
        <w:t xml:space="preserve">21 сентября 2026</w:t>
      </w:r>
      <w:r>
        <w:rPr>
          <w:szCs w:val="28"/>
        </w:rPr>
        <w:t xml:space="preserve"> года                                                                    </w:t>
      </w:r>
      <w:r>
        <w:rPr>
          <w:szCs w:val="28"/>
        </w:rPr>
        <w:t xml:space="preserve">   </w:t>
      </w:r>
      <w:r>
        <w:rPr>
          <w:szCs w:val="28"/>
        </w:rPr>
        <w:t xml:space="preserve">№ </w:t>
      </w:r>
      <w:r>
        <w:rPr>
          <w:szCs w:val="28"/>
        </w:rPr>
        <w:t xml:space="preserve">26</w:t>
      </w:r>
      <w:r>
        <w:rPr>
          <w:szCs w:val="28"/>
        </w:rPr>
        <w:t xml:space="preserve"> </w:t>
      </w:r>
      <w:r>
        <w:rPr>
          <w:szCs w:val="28"/>
        </w:rPr>
        <w:t xml:space="preserve">-</w:t>
      </w:r>
      <w:r>
        <w:rPr>
          <w:szCs w:val="28"/>
        </w:rPr>
        <w:t xml:space="preserve"> 2</w:t>
      </w:r>
      <w:r>
        <w:rPr>
          <w:szCs w:val="28"/>
        </w:rPr>
      </w:r>
      <w:r>
        <w:rPr>
          <w:szCs w:val="28"/>
        </w:rPr>
      </w:r>
    </w:p>
    <w:p>
      <w:pPr>
        <w:pStyle w:val="709"/>
        <w:jc w:val="center"/>
        <w:spacing w:before="60" w:after="60"/>
        <w:tabs>
          <w:tab w:val="right" w:pos="949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ст.Милютинская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09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27"/>
        <w:ind w:left="1701" w:right="1557"/>
        <w:tabs>
          <w:tab w:val="left" w:pos="-1600" w:leader="none"/>
        </w:tabs>
      </w:pPr>
      <w:r>
        <w:t xml:space="preserve">О</w:t>
      </w:r>
      <w:r>
        <w:t xml:space="preserve">б итогах </w:t>
      </w:r>
      <w:r>
        <w:t xml:space="preserve">голосования </w:t>
      </w:r>
      <w:r>
        <w:t xml:space="preserve">на в</w:t>
      </w:r>
      <w:r>
        <w:t xml:space="preserve">ыбор</w:t>
      </w:r>
      <w:r>
        <w:t xml:space="preserve">ах </w:t>
      </w:r>
      <w:r>
        <w:t xml:space="preserve">депутатов Государственной Думы Федерального Собрания Российской Федерации </w:t>
      </w:r>
      <w:r>
        <w:t xml:space="preserve">девятого</w:t>
      </w:r>
      <w:r>
        <w:t xml:space="preserve"> созыва </w:t>
      </w:r>
      <w:r>
        <w:t xml:space="preserve">по </w:t>
      </w:r>
      <w:r>
        <w:t xml:space="preserve">федеральному избирательному</w:t>
      </w:r>
      <w:r>
        <w:t xml:space="preserve"> округу</w:t>
      </w:r>
      <w:r>
        <w:t xml:space="preserve"> </w:t>
      </w:r>
      <w:r>
        <w:t xml:space="preserve">на территории </w:t>
      </w:r>
      <w:r>
        <w:t xml:space="preserve">Ростовская область, </w:t>
      </w:r>
      <w:r>
        <w:t xml:space="preserve">Милютинский</w:t>
      </w:r>
      <w:r>
        <w:t xml:space="preserve"> район </w:t>
      </w:r>
      <w:r/>
    </w:p>
    <w:p>
      <w:pPr>
        <w:pStyle w:val="709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733"/>
        <w:ind w:firstLine="708"/>
        <w:jc w:val="both"/>
        <w:widowControl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участков референдума №№ 1176, 1177, 1178, 1180, 1181, 1183, 1184, 1185, 1186, 1188, 1190, 1191, 1192, 1193, 1194, 1196, 1197, 1198, 1199, 1201, 1202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об итогах голосования по федеральному избирательному округу, </w:t>
      </w:r>
      <w:r>
        <w:rPr>
          <w:rFonts w:ascii="Times New Roman" w:hAnsi="Times New Roman" w:cs="Times New Roman"/>
          <w:sz w:val="28"/>
          <w:szCs w:val="28"/>
        </w:rPr>
        <w:t xml:space="preserve"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Милютинского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установила, что в выборах депутатов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t xml:space="preserve">по федеральному избирательному округу на территории Ростовская область, </w:t>
      </w:r>
      <w:r>
        <w:rPr>
          <w:rFonts w:ascii="Times New Roman" w:hAnsi="Times New Roman" w:cs="Times New Roman"/>
          <w:sz w:val="28"/>
          <w:szCs w:val="28"/>
        </w:rPr>
        <w:t xml:space="preserve">Милютинский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приняли  участие 6492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избирателя, что составляет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71,16 </w:t>
      </w:r>
      <w:r>
        <w:rPr>
          <w:rFonts w:ascii="Times New Roman" w:hAnsi="Times New Roman" w:cs="Times New Roman"/>
          <w:bCs/>
          <w:sz w:val="28"/>
          <w:szCs w:val="28"/>
          <w:highlight w:val="yellow"/>
        </w:rPr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избирателей, внесенных в списки избирателей на момент окончания голосования. 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733"/>
        <w:ind w:firstLine="708"/>
        <w:jc w:val="both"/>
        <w:widowControl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Голоса избирателей распределились следующим образом:</w:t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733"/>
        <w:ind w:firstLine="708"/>
        <w:jc w:val="both"/>
        <w:widowControl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338"/>
        <w:gridCol w:w="567"/>
        <w:gridCol w:w="1665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политическая партия 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ind w:firstLine="3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4033 голоса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Политическая партия ЛДПР – Либерально-демократическая партия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781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Политическая партия «Партия прямой демократии»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Политическая партия «Российская экологическая партия «ЗЕЛЁНЫЕ»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Социалистическая политическая партия СПРАВЕДЛИВАЯ РОССИЯ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267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ПОЛИТИЧЕСКАЯ ПАРТИЯ «РОДИНА» РОССИЯ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КПРФ – политическая 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ПАРТИЯ ПЕНСИОНЕРОВ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Политическая партия КОММУНИСТИЧЕСКАЯ ПАРТИЯ КОММУНИСТЫ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338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Политическая партия «НОВЫЕ ЛЮДИ»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733"/>
              <w:jc w:val="both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65" w:type="dxa"/>
            <w:vAlign w:val="top"/>
            <w:textDirection w:val="lrTb"/>
            <w:noWrap w:val="false"/>
          </w:tcPr>
          <w:p>
            <w:pPr>
              <w:pStyle w:val="73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400 голосов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33"/>
        <w:ind w:firstLine="709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ind w:firstLine="708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положения статьи 30 и  </w:t>
      </w:r>
      <w:r>
        <w:rPr>
          <w:rFonts w:ascii="Times New Roman" w:hAnsi="Times New Roman" w:cs="Times New Roman"/>
          <w:sz w:val="28"/>
          <w:szCs w:val="28"/>
        </w:rPr>
        <w:t xml:space="preserve">стать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22 февраля 2014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20</w:t>
      </w:r>
      <w:r>
        <w:rPr>
          <w:rFonts w:ascii="Times New Roman" w:hAnsi="Times New Roman" w:cs="Times New Roman"/>
          <w:sz w:val="28"/>
          <w:szCs w:val="28"/>
        </w:rPr>
        <w:t xml:space="preserve">-ФЗ</w:t>
      </w:r>
      <w:r>
        <w:rPr>
          <w:rFonts w:ascii="Times New Roman" w:hAnsi="Times New Roman" w:cs="Times New Roman"/>
          <w:sz w:val="28"/>
          <w:szCs w:val="28"/>
        </w:rPr>
        <w:t xml:space="preserve"> «О выборах депутатов Государственной Думы Федерального Собрания Российской Федерации»,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jc w:val="center"/>
        <w:spacing w:line="360" w:lineRule="auto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jc w:val="center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jc w:val="center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ПОСТАНОВЛЯЕТ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3"/>
        <w:numPr>
          <w:ilvl w:val="0"/>
          <w:numId w:val="27"/>
        </w:numPr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ротокол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водную таблицу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на выборах депутатов Государственной Думы Федерального Соб</w:t>
      </w:r>
      <w:r>
        <w:rPr>
          <w:rFonts w:ascii="Times New Roman" w:hAnsi="Times New Roman" w:cs="Times New Roman"/>
          <w:sz w:val="28"/>
          <w:szCs w:val="28"/>
        </w:rPr>
        <w:t xml:space="preserve">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</w:t>
      </w:r>
      <w:r>
        <w:rPr>
          <w:rFonts w:ascii="Times New Roman" w:hAnsi="Times New Roman" w:cs="Times New Roman"/>
          <w:sz w:val="28"/>
          <w:szCs w:val="28"/>
        </w:rPr>
        <w:t xml:space="preserve">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федеральному избирательному округу на территории Ростовская область, </w:t>
      </w:r>
      <w:r>
        <w:rPr>
          <w:rFonts w:ascii="Times New Roman" w:hAnsi="Times New Roman" w:cs="Times New Roman"/>
          <w:sz w:val="28"/>
          <w:szCs w:val="28"/>
        </w:rPr>
        <w:t xml:space="preserve">Милютинский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numPr>
          <w:ilvl w:val="0"/>
          <w:numId w:val="27"/>
        </w:numPr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Признать выборы д</w:t>
      </w:r>
      <w:r>
        <w:rPr>
          <w:rFonts w:ascii="Times New Roman" w:hAnsi="Times New Roman" w:cs="Times New Roman"/>
          <w:sz w:val="28"/>
          <w:szCs w:val="28"/>
        </w:rPr>
        <w:t xml:space="preserve">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</w:t>
      </w:r>
      <w:r>
        <w:rPr>
          <w:rFonts w:ascii="Times New Roman" w:hAnsi="Times New Roman" w:cs="Times New Roman"/>
          <w:sz w:val="28"/>
          <w:szCs w:val="28"/>
        </w:rPr>
        <w:t xml:space="preserve">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федеральному избирательному округу на территории Ростовская область, </w:t>
      </w:r>
      <w:r>
        <w:rPr>
          <w:rFonts w:ascii="Times New Roman" w:hAnsi="Times New Roman" w:cs="Times New Roman"/>
          <w:sz w:val="28"/>
          <w:szCs w:val="28"/>
        </w:rPr>
        <w:t xml:space="preserve">Милютинский </w:t>
      </w:r>
      <w:r>
        <w:rPr>
          <w:rFonts w:ascii="Times New Roman" w:hAnsi="Times New Roman" w:cs="Times New Roman"/>
          <w:sz w:val="28"/>
          <w:szCs w:val="28"/>
        </w:rPr>
        <w:t xml:space="preserve">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</w:t>
      </w:r>
      <w:r>
        <w:rPr>
          <w:rFonts w:ascii="Times New Roman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состоявшимися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действительными.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733"/>
        <w:ind w:left="795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numPr>
          <w:ilvl w:val="0"/>
          <w:numId w:val="27"/>
        </w:numPr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протокол</w:t>
      </w:r>
      <w:r>
        <w:rPr>
          <w:rFonts w:ascii="Times New Roman" w:hAnsi="Times New Roman"/>
          <w:sz w:val="28"/>
          <w:szCs w:val="28"/>
        </w:rPr>
        <w:t xml:space="preserve"> № 2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С</w:t>
      </w:r>
      <w:r>
        <w:rPr>
          <w:rFonts w:ascii="Times New Roman" w:hAnsi="Times New Roman"/>
          <w:sz w:val="28"/>
          <w:szCs w:val="28"/>
        </w:rPr>
        <w:t xml:space="preserve">водную таблицу</w:t>
      </w:r>
      <w:r>
        <w:rPr>
          <w:rFonts w:ascii="Times New Roman" w:hAnsi="Times New Roman"/>
          <w:sz w:val="28"/>
          <w:szCs w:val="28"/>
        </w:rPr>
        <w:t xml:space="preserve"> № 2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Милютинского</w:t>
      </w:r>
      <w:r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на выборах депутатов Государственной Думы Федерального Соб</w:t>
      </w:r>
      <w:r>
        <w:rPr>
          <w:rFonts w:ascii="Times New Roman" w:hAnsi="Times New Roman" w:cs="Times New Roman"/>
          <w:sz w:val="28"/>
          <w:szCs w:val="28"/>
        </w:rPr>
        <w:t xml:space="preserve">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федеральному избирательному округу на территории Ростовская область, </w:t>
      </w:r>
      <w:r>
        <w:rPr>
          <w:rFonts w:ascii="Times New Roman" w:hAnsi="Times New Roman" w:cs="Times New Roman"/>
          <w:sz w:val="28"/>
          <w:szCs w:val="28"/>
        </w:rPr>
        <w:t xml:space="preserve">Милютинский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z w:val="28"/>
          <w:szCs w:val="28"/>
        </w:rPr>
        <w:t xml:space="preserve"> окружную избирательную комиссию Ростовской области.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3"/>
        <w:numPr>
          <w:ilvl w:val="0"/>
          <w:numId w:val="27"/>
        </w:numPr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 xml:space="preserve">за исполнением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</w:t>
      </w:r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 xml:space="preserve">П.В.Безденежного.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2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12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</w:t>
        <w:tab/>
        <w:tab/>
        <w:tab/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b w:val="0"/>
          <w:sz w:val="28"/>
          <w:szCs w:val="28"/>
        </w:rPr>
        <w:tab/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П.В.Безденежный</w:t>
      </w: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9"/>
      </w:pPr>
      <w:r/>
      <w:r/>
    </w:p>
    <w:p>
      <w:pPr>
        <w:pStyle w:val="713"/>
      </w:pPr>
      <w:r>
        <w:rPr>
          <w:b w:val="0"/>
        </w:rPr>
        <w:t xml:space="preserve">Секретарь комиссии</w:t>
        <w:tab/>
        <w:tab/>
        <w:tab/>
        <w:tab/>
        <w:tab/>
        <w:tab/>
      </w:r>
      <w:r>
        <w:rPr>
          <w:b w:val="0"/>
        </w:rPr>
        <w:t xml:space="preserve">     </w:t>
      </w:r>
      <w:r>
        <w:rPr>
          <w:b w:val="0"/>
        </w:rPr>
        <w:t xml:space="preserve">М.Ю.Слесарева</w:t>
      </w:r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1" w:bottom="1134" w:left="1701" w:header="454" w:footer="45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Wingdings">
    <w:panose1 w:val="0501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2"/>
      <w:rPr>
        <w:rStyle w:val="723"/>
      </w:rPr>
      <w:framePr w:wrap="around" w:vAnchor="text" w:hAnchor="margin" w:xAlign="center" w:y="1"/>
    </w:pPr>
    <w:r>
      <w:rPr>
        <w:rStyle w:val="723"/>
      </w:rPr>
      <w:fldChar w:fldCharType="begin"/>
    </w:r>
    <w:r>
      <w:rPr>
        <w:rStyle w:val="723"/>
      </w:rPr>
      <w:instrText xml:space="preserve">PAGE  </w:instrText>
    </w:r>
    <w:r>
      <w:rPr>
        <w:rStyle w:val="723"/>
      </w:rPr>
      <w:fldChar w:fldCharType="separate"/>
    </w:r>
    <w:r>
      <w:rPr>
        <w:rStyle w:val="723"/>
      </w:rPr>
      <w:t xml:space="preserve">2</w:t>
    </w:r>
    <w:r>
      <w:rPr>
        <w:rStyle w:val="723"/>
      </w:rPr>
      <w:fldChar w:fldCharType="end"/>
    </w:r>
    <w:r>
      <w:rPr>
        <w:rStyle w:val="723"/>
      </w:rPr>
    </w:r>
    <w:r>
      <w:rPr>
        <w:rStyle w:val="723"/>
      </w:rPr>
    </w:r>
  </w:p>
  <w:p>
    <w:pPr>
      <w:pStyle w:val="722"/>
      <w:ind w:right="3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2"/>
      <w:rPr>
        <w:rStyle w:val="723"/>
      </w:rPr>
      <w:framePr w:wrap="around" w:vAnchor="text" w:hAnchor="margin" w:xAlign="center" w:y="1"/>
    </w:pPr>
    <w:r>
      <w:rPr>
        <w:rStyle w:val="723"/>
      </w:rPr>
      <w:fldChar w:fldCharType="begin"/>
    </w:r>
    <w:r>
      <w:rPr>
        <w:rStyle w:val="723"/>
      </w:rPr>
      <w:instrText xml:space="preserve">PAGE  </w:instrText>
    </w:r>
    <w:r>
      <w:rPr>
        <w:rStyle w:val="723"/>
      </w:rPr>
      <w:fldChar w:fldCharType="end"/>
    </w:r>
    <w:r>
      <w:rPr>
        <w:rStyle w:val="723"/>
      </w:rPr>
    </w:r>
    <w:r>
      <w:rPr>
        <w:rStyle w:val="723"/>
      </w:rPr>
    </w:r>
  </w:p>
  <w:p>
    <w:pPr>
      <w:pStyle w:val="722"/>
      <w:ind w:right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center"/>
      <w:pPr>
        <w:ind w:left="417" w:hanging="57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  <w:tabs>
          <w:tab w:val="num" w:pos="1909" w:leader="none"/>
        </w:tabs>
      </w:pPr>
    </w:lvl>
    <w:lvl w:ilvl="1">
      <w:start w:val="1"/>
      <w:numFmt w:val="decimal"/>
      <w:isLgl w:val="false"/>
      <w:suff w:val="tab"/>
      <w:lvlText w:val="%2)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0"/>
      <w:numFmt w:val="bullet"/>
      <w:isLgl w:val="false"/>
      <w:suff w:val="tab"/>
      <w:lvlText w:val="-"/>
      <w:lvlJc w:val="left"/>
      <w:pPr>
        <w:ind w:left="1440" w:hanging="360"/>
        <w:tabs>
          <w:tab w:val="num" w:pos="1440" w:leader="none"/>
        </w:tabs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69" w:hanging="585"/>
        <w:tabs>
          <w:tab w:val="num" w:pos="86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  <w:tabs>
          <w:tab w:val="num" w:pos="1364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  <w:tabs>
          <w:tab w:val="num" w:pos="2084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  <w:tabs>
          <w:tab w:val="num" w:pos="2804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  <w:tabs>
          <w:tab w:val="num" w:pos="3524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  <w:tabs>
          <w:tab w:val="num" w:pos="4244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  <w:tabs>
          <w:tab w:val="num" w:pos="4964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  <w:tabs>
          <w:tab w:val="num" w:pos="5684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  <w:tabs>
          <w:tab w:val="num" w:pos="6404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center"/>
      <w:pPr>
        <w:ind w:left="417" w:hanging="57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3" w:hanging="360"/>
        <w:tabs>
          <w:tab w:val="num" w:pos="1193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833" w:hanging="360"/>
        <w:tabs>
          <w:tab w:val="num" w:pos="833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2" w:hanging="360"/>
        <w:tabs>
          <w:tab w:val="num" w:pos="64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4"/>
      <w:numFmt w:val="decimal"/>
      <w:isLgl w:val="false"/>
      <w:suff w:val="tab"/>
      <w:lvlText w:val="%1"/>
      <w:lvlJc w:val="left"/>
      <w:pPr>
        <w:ind w:left="7419" w:hanging="7419"/>
        <w:tabs>
          <w:tab w:val="num" w:pos="7419" w:leader="none"/>
        </w:tabs>
      </w:pPr>
    </w:lvl>
    <w:lvl w:ilvl="1">
      <w:start w:val="12"/>
      <w:numFmt w:val="decimal"/>
      <w:isLgl w:val="false"/>
      <w:suff w:val="tab"/>
      <w:lvlText w:val="%1.%2"/>
      <w:lvlJc w:val="left"/>
      <w:pPr>
        <w:ind w:left="7419" w:hanging="7419"/>
        <w:tabs>
          <w:tab w:val="num" w:pos="7419" w:leader="none"/>
        </w:tabs>
      </w:pPr>
    </w:lvl>
    <w:lvl w:ilvl="2">
      <w:start w:val="2004"/>
      <w:numFmt w:val="decimal"/>
      <w:isLgl w:val="false"/>
      <w:suff w:val="tab"/>
      <w:lvlText w:val="%1.%2.%3"/>
      <w:lvlJc w:val="left"/>
      <w:pPr>
        <w:ind w:left="7419" w:hanging="7419"/>
        <w:tabs>
          <w:tab w:val="num" w:pos="7419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419" w:hanging="7419"/>
        <w:tabs>
          <w:tab w:val="num" w:pos="7419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7419" w:hanging="7419"/>
        <w:tabs>
          <w:tab w:val="num" w:pos="7419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7419" w:hanging="7419"/>
        <w:tabs>
          <w:tab w:val="num" w:pos="7419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7419" w:hanging="7419"/>
        <w:tabs>
          <w:tab w:val="num" w:pos="7419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7419" w:hanging="7419"/>
        <w:tabs>
          <w:tab w:val="num" w:pos="7419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19" w:hanging="7419"/>
        <w:tabs>
          <w:tab w:val="num" w:pos="7419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"/>
      <w:lvlJc w:val="center"/>
      <w:pPr>
        <w:ind w:left="1137" w:hanging="57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750" w:hanging="39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  <w:tabs>
          <w:tab w:val="num" w:pos="1440" w:leader="none"/>
        </w:tabs>
      </w:pPr>
    </w:lvl>
    <w:lvl w:ilvl="2">
      <w:start w:val="2"/>
      <w:numFmt w:val="bullet"/>
      <w:isLgl w:val="false"/>
      <w:suff w:val="tab"/>
      <w:lvlText w:val="-"/>
      <w:lvlJc w:val="left"/>
      <w:pPr>
        <w:ind w:left="2340" w:hanging="360"/>
        <w:tabs>
          <w:tab w:val="num" w:pos="2340" w:leader="none"/>
        </w:tabs>
      </w:pPr>
      <w:rPr>
        <w:rFonts w:ascii="Times New Roman" w:hAnsi="Times New Roman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1193" w:hanging="360"/>
        <w:tabs>
          <w:tab w:val="num" w:pos="1193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"/>
      <w:lvlJc w:val="center"/>
      <w:pPr>
        <w:ind w:left="417" w:hanging="57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  <w:tabs>
          <w:tab w:val="num" w:pos="190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"/>
      <w:lvlJc w:val="left"/>
      <w:pPr>
        <w:ind w:left="1440" w:hanging="360"/>
        <w:tabs>
          <w:tab w:val="num" w:pos="1440" w:leader="none"/>
        </w:tabs>
      </w:pPr>
      <w:rPr>
        <w:rFonts w:ascii="Wingdings" w:hAnsi="Wingdings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5" w:hanging="435"/>
        <w:tabs>
          <w:tab w:val="num" w:pos="79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  <w:tabs>
          <w:tab w:val="num" w:pos="64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  <w:tabs>
          <w:tab w:val="num" w:pos="1364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  <w:tabs>
          <w:tab w:val="num" w:pos="2084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  <w:tabs>
          <w:tab w:val="num" w:pos="2804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  <w:tabs>
          <w:tab w:val="num" w:pos="3524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  <w:tabs>
          <w:tab w:val="num" w:pos="4244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  <w:tabs>
          <w:tab w:val="num" w:pos="4964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  <w:tabs>
          <w:tab w:val="num" w:pos="5684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  <w:tabs>
          <w:tab w:val="num" w:pos="6404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5" w:hanging="435"/>
        <w:tabs>
          <w:tab w:val="num" w:pos="79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4"/>
  </w:num>
  <w:num w:numId="5">
    <w:abstractNumId w:val="21"/>
  </w:num>
  <w:num w:numId="6">
    <w:abstractNumId w:val="2"/>
  </w:num>
  <w:num w:numId="7">
    <w:abstractNumId w:val="18"/>
  </w:num>
  <w:num w:numId="8">
    <w:abstractNumId w:val="3"/>
  </w:num>
  <w:num w:numId="9">
    <w:abstractNumId w:val="24"/>
  </w:num>
  <w:num w:numId="10">
    <w:abstractNumId w:val="6"/>
  </w:num>
  <w:num w:numId="11">
    <w:abstractNumId w:val="27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</w:num>
  <w:num w:numId="22">
    <w:abstractNumId w:val="23"/>
  </w:num>
  <w:num w:numId="23">
    <w:abstractNumId w:val="4"/>
  </w:num>
  <w:num w:numId="24">
    <w:abstractNumId w:val="12"/>
  </w:num>
  <w:num w:numId="25">
    <w:abstractNumId w:val="5"/>
  </w:num>
  <w:num w:numId="26">
    <w:abstractNumId w:val="7"/>
  </w:num>
  <w:num w:numId="27">
    <w:abstractNumId w:val="26"/>
  </w:num>
  <w:num w:numId="28">
    <w:abstractNumId w:val="1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09"/>
    <w:next w:val="709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09"/>
    <w:next w:val="709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09"/>
    <w:next w:val="709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09"/>
    <w:next w:val="709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09"/>
    <w:next w:val="709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09"/>
    <w:next w:val="709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09"/>
    <w:next w:val="709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09"/>
    <w:next w:val="709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09"/>
    <w:next w:val="709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09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09"/>
    <w:next w:val="709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709"/>
    <w:next w:val="709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709"/>
    <w:next w:val="709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09"/>
    <w:next w:val="709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709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70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709"/>
    <w:next w:val="709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709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709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709"/>
    <w:next w:val="709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09"/>
    <w:next w:val="709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09"/>
    <w:next w:val="709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09"/>
    <w:next w:val="709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09"/>
    <w:next w:val="709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09"/>
    <w:next w:val="709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09"/>
    <w:next w:val="709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09"/>
    <w:next w:val="709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09"/>
    <w:next w:val="709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09"/>
    <w:next w:val="709"/>
    <w:uiPriority w:val="99"/>
    <w:unhideWhenUsed/>
    <w:pPr>
      <w:spacing w:after="0" w:afterAutospacing="0"/>
    </w:pPr>
  </w:style>
  <w:style w:type="paragraph" w:styleId="709" w:default="1">
    <w:name w:val="Normal"/>
    <w:next w:val="709"/>
    <w:link w:val="709"/>
    <w:qFormat/>
    <w:rPr>
      <w:lang w:val="ru-RU" w:eastAsia="ru-RU" w:bidi="ar-SA"/>
    </w:rPr>
  </w:style>
  <w:style w:type="paragraph" w:styleId="710">
    <w:name w:val="Заголовок 1"/>
    <w:basedOn w:val="709"/>
    <w:next w:val="709"/>
    <w:link w:val="709"/>
    <w:qFormat/>
    <w:pPr>
      <w:jc w:val="center"/>
      <w:keepNext/>
      <w:tabs>
        <w:tab w:val="left" w:pos="284" w:leader="none"/>
      </w:tabs>
      <w:outlineLvl w:val="0"/>
    </w:pPr>
    <w:rPr>
      <w:sz w:val="28"/>
    </w:rPr>
  </w:style>
  <w:style w:type="paragraph" w:styleId="711">
    <w:name w:val="Заголовок 2"/>
    <w:basedOn w:val="709"/>
    <w:next w:val="709"/>
    <w:link w:val="70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12">
    <w:name w:val="Заголовок 3"/>
    <w:basedOn w:val="709"/>
    <w:next w:val="709"/>
    <w:link w:val="70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13">
    <w:name w:val="Заголовок 4"/>
    <w:basedOn w:val="709"/>
    <w:next w:val="709"/>
    <w:link w:val="709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714">
    <w:name w:val="Основной шрифт абзаца"/>
    <w:next w:val="714"/>
    <w:link w:val="709"/>
    <w:semiHidden/>
  </w:style>
  <w:style w:type="table" w:styleId="715">
    <w:name w:val="Обычная таблица"/>
    <w:next w:val="715"/>
    <w:link w:val="709"/>
    <w:semiHidden/>
    <w:tblPr/>
  </w:style>
  <w:style w:type="numbering" w:styleId="716">
    <w:name w:val="Нет списка"/>
    <w:next w:val="716"/>
    <w:link w:val="709"/>
    <w:semiHidden/>
  </w:style>
  <w:style w:type="paragraph" w:styleId="717">
    <w:name w:val="Название"/>
    <w:basedOn w:val="709"/>
    <w:next w:val="717"/>
    <w:link w:val="709"/>
    <w:qFormat/>
    <w:pPr>
      <w:jc w:val="center"/>
      <w:tabs>
        <w:tab w:val="left" w:pos="284" w:leader="none"/>
      </w:tabs>
    </w:pPr>
    <w:rPr>
      <w:b/>
      <w:sz w:val="32"/>
    </w:rPr>
  </w:style>
  <w:style w:type="paragraph" w:styleId="718">
    <w:name w:val="Основной текст"/>
    <w:basedOn w:val="709"/>
    <w:next w:val="718"/>
    <w:link w:val="709"/>
    <w:pPr>
      <w:tabs>
        <w:tab w:val="left" w:pos="284" w:leader="none"/>
      </w:tabs>
    </w:pPr>
    <w:rPr>
      <w:sz w:val="28"/>
    </w:rPr>
  </w:style>
  <w:style w:type="paragraph" w:styleId="719">
    <w:name w:val="Основной текст 2"/>
    <w:basedOn w:val="709"/>
    <w:next w:val="719"/>
    <w:link w:val="709"/>
    <w:pPr>
      <w:jc w:val="both"/>
      <w:tabs>
        <w:tab w:val="left" w:pos="284" w:leader="none"/>
      </w:tabs>
    </w:pPr>
    <w:rPr>
      <w:sz w:val="28"/>
    </w:rPr>
  </w:style>
  <w:style w:type="paragraph" w:styleId="720">
    <w:name w:val="Текст выноски"/>
    <w:basedOn w:val="709"/>
    <w:next w:val="720"/>
    <w:link w:val="709"/>
    <w:semiHidden/>
    <w:rPr>
      <w:rFonts w:ascii="Tahoma" w:hAnsi="Tahoma" w:cs="Tahoma"/>
      <w:sz w:val="16"/>
      <w:szCs w:val="16"/>
    </w:rPr>
  </w:style>
  <w:style w:type="paragraph" w:styleId="721">
    <w:name w:val="ConsPlusNormal"/>
    <w:next w:val="721"/>
    <w:link w:val="709"/>
    <w:pPr>
      <w:ind w:firstLine="720"/>
    </w:pPr>
    <w:rPr>
      <w:rFonts w:ascii="Arial" w:hAnsi="Arial" w:cs="Arial"/>
      <w:lang w:val="ru-RU" w:eastAsia="ru-RU" w:bidi="ar-SA"/>
    </w:rPr>
  </w:style>
  <w:style w:type="paragraph" w:styleId="722">
    <w:name w:val="Верхний колонтитул"/>
    <w:basedOn w:val="709"/>
    <w:next w:val="722"/>
    <w:link w:val="709"/>
    <w:pPr>
      <w:tabs>
        <w:tab w:val="center" w:pos="4677" w:leader="none"/>
        <w:tab w:val="right" w:pos="9355" w:leader="none"/>
      </w:tabs>
    </w:pPr>
  </w:style>
  <w:style w:type="character" w:styleId="723">
    <w:name w:val="Номер страницы"/>
    <w:basedOn w:val="714"/>
    <w:next w:val="723"/>
    <w:link w:val="709"/>
  </w:style>
  <w:style w:type="paragraph" w:styleId="724">
    <w:name w:val="Нижний колонтитул"/>
    <w:basedOn w:val="709"/>
    <w:next w:val="724"/>
    <w:link w:val="709"/>
    <w:pPr>
      <w:tabs>
        <w:tab w:val="center" w:pos="4677" w:leader="none"/>
        <w:tab w:val="right" w:pos="9355" w:leader="none"/>
      </w:tabs>
    </w:pPr>
  </w:style>
  <w:style w:type="paragraph" w:styleId="725">
    <w:name w:val="Название объекта"/>
    <w:basedOn w:val="709"/>
    <w:next w:val="709"/>
    <w:link w:val="709"/>
    <w:qFormat/>
    <w:pPr>
      <w:ind w:right="1134"/>
      <w:jc w:val="center"/>
    </w:pPr>
    <w:rPr>
      <w:caps/>
      <w:sz w:val="24"/>
    </w:rPr>
  </w:style>
  <w:style w:type="paragraph" w:styleId="726">
    <w:name w:val="Основной текст с отступом"/>
    <w:basedOn w:val="709"/>
    <w:next w:val="726"/>
    <w:link w:val="709"/>
    <w:pPr>
      <w:ind w:left="4536"/>
      <w:spacing w:before="60" w:after="60"/>
    </w:pPr>
    <w:rPr>
      <w:sz w:val="28"/>
    </w:rPr>
  </w:style>
  <w:style w:type="paragraph" w:styleId="727">
    <w:name w:val="Цитата"/>
    <w:basedOn w:val="709"/>
    <w:next w:val="727"/>
    <w:link w:val="709"/>
    <w:pPr>
      <w:ind w:left="1985" w:right="1983"/>
      <w:jc w:val="both"/>
    </w:pPr>
    <w:rPr>
      <w:b/>
      <w:sz w:val="28"/>
      <w:szCs w:val="28"/>
    </w:rPr>
  </w:style>
  <w:style w:type="paragraph" w:styleId="728">
    <w:name w:val="Основной текст 3"/>
    <w:basedOn w:val="709"/>
    <w:next w:val="728"/>
    <w:link w:val="709"/>
    <w:pPr>
      <w:spacing w:after="120"/>
    </w:pPr>
    <w:rPr>
      <w:sz w:val="16"/>
      <w:szCs w:val="16"/>
    </w:rPr>
  </w:style>
  <w:style w:type="character" w:styleId="729">
    <w:name w:val="Знак сноски"/>
    <w:next w:val="729"/>
    <w:link w:val="709"/>
    <w:semiHidden/>
    <w:rPr>
      <w:vertAlign w:val="superscript"/>
    </w:rPr>
  </w:style>
  <w:style w:type="paragraph" w:styleId="730">
    <w:name w:val="Текст сноски"/>
    <w:basedOn w:val="709"/>
    <w:next w:val="730"/>
    <w:link w:val="709"/>
    <w:semiHidden/>
    <w:pPr>
      <w:jc w:val="both"/>
    </w:pPr>
  </w:style>
  <w:style w:type="paragraph" w:styleId="731">
    <w:name w:val="Основной текст с отступом 2"/>
    <w:basedOn w:val="709"/>
    <w:next w:val="731"/>
    <w:link w:val="709"/>
    <w:pPr>
      <w:ind w:left="283"/>
      <w:spacing w:after="120" w:line="480" w:lineRule="auto"/>
    </w:pPr>
  </w:style>
  <w:style w:type="table" w:styleId="732">
    <w:name w:val="Сетка таблицы"/>
    <w:basedOn w:val="715"/>
    <w:next w:val="732"/>
    <w:link w:val="709"/>
    <w:tblPr/>
  </w:style>
  <w:style w:type="paragraph" w:styleId="733">
    <w:name w:val="ConsNonformat"/>
    <w:next w:val="733"/>
    <w:link w:val="70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734">
    <w:name w:val="Абзац списка"/>
    <w:basedOn w:val="709"/>
    <w:next w:val="734"/>
    <w:link w:val="709"/>
    <w:uiPriority w:val="34"/>
    <w:qFormat/>
    <w:pPr>
      <w:ind w:left="708"/>
    </w:pPr>
  </w:style>
  <w:style w:type="character" w:styleId="1413" w:default="1">
    <w:name w:val="Default Paragraph Font"/>
    <w:uiPriority w:val="1"/>
    <w:semiHidden/>
    <w:unhideWhenUsed/>
  </w:style>
  <w:style w:type="numbering" w:styleId="1414" w:default="1">
    <w:name w:val="No List"/>
    <w:uiPriority w:val="99"/>
    <w:semiHidden/>
    <w:unhideWhenUsed/>
  </w:style>
  <w:style w:type="table" w:styleId="141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№ _____</dc:title>
  <dc:creator>Избирательная комиссия</dc:creator>
  <cp:lastModifiedBy>s.a.shaposhnikov</cp:lastModifiedBy>
  <cp:revision>3</cp:revision>
  <dcterms:created xsi:type="dcterms:W3CDTF">2026-09-20T19:59:00Z</dcterms:created>
  <dcterms:modified xsi:type="dcterms:W3CDTF">2026-09-21T04:20:23Z</dcterms:modified>
  <cp:version>786432</cp:version>
</cp:coreProperties>
</file>